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72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72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72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7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7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721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</w:r>
    </w:p>
    <w:p>
      <w:pPr>
        <w:pStyle w:val="72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72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sz w:val="28"/>
          <w:szCs w:val="28"/>
        </w:rPr>
        <w:t xml:space="preserve">Методики расчета </w:t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области, </w:t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также установлении ее максимального размера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Федеральным законом от 29 декабря 2017 года </w:t>
        <w:br/>
        <w:t xml:space="preserve">№ 443-ФЗ «</w:t>
      </w:r>
      <w:r>
        <w:rPr>
          <w:rFonts w:ascii="Times New Roman" w:hAnsi="Times New Roman"/>
          <w:sz w:val="28"/>
          <w:szCs w:val="28"/>
        </w:rPr>
        <w:t xml:space="preserve">Об организации дорожного движения в Российской Федерации </w:t>
        <w:br/>
        <w:t xml:space="preserve">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Правительство Белгородской области </w:t>
      </w:r>
      <w:r>
        <w:rPr>
          <w:rFonts w:ascii="Times New Roman" w:hAnsi="Times New Roman"/>
          <w:b/>
          <w:sz w:val="28"/>
          <w:szCs w:val="28"/>
        </w:rPr>
        <w:t xml:space="preserve">п о с т а н о в л я е т:</w:t>
      </w:r>
    </w:p>
    <w:p>
      <w:pPr>
        <w:pStyle w:val="721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 Утвердить </w:t>
      </w:r>
      <w:r>
        <w:rPr>
          <w:rFonts w:ascii="Times New Roman" w:hAnsi="Times New Roman"/>
          <w:sz w:val="28"/>
          <w:szCs w:val="28"/>
        </w:rPr>
        <w:t xml:space="preserve">Методику расчета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</w:t>
      </w:r>
      <w:r>
        <w:rPr>
          <w:rFonts w:ascii="Times New Roman" w:hAnsi="Times New Roman"/>
          <w:sz w:val="28"/>
          <w:szCs w:val="28"/>
        </w:rPr>
        <w:t xml:space="preserve">, </w:t>
        <w:br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 также установлении ее максимального размера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2. </w:t>
      </w:r>
      <w:r>
        <w:rPr>
          <w:rFonts w:ascii="Times New Roman" w:hAnsi="Times New Roman" w:eastAsia="Arial" w:cs="Times New Roman"/>
          <w:color w:val="000000" w:themeColor="text1"/>
          <w:sz w:val="28"/>
          <w:szCs w:val="28"/>
          <w:highlight w:val="white"/>
        </w:rPr>
        <w:t xml:space="preserve">Установить максимальный размер платы за пользование в течение одного часа одним парковочным местом на парковке, расположенной </w:t>
        <w:br/>
        <w:t xml:space="preserve">на автомобильных дорогах общего пользования регионального </w:t>
        <w:br/>
        <w:t xml:space="preserve">или межмуниципального, местного значения Белгородской области </w:t>
        <w:br/>
        <w:t xml:space="preserve">и используемой на платной основе</w:t>
      </w:r>
      <w:r>
        <w:rPr>
          <w:rFonts w:ascii="Times New Roman" w:hAnsi="Times New Roman" w:eastAsia="Arial" w:cs="Times New Roman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Arial" w:cs="Times New Roman"/>
          <w:color w:val="000000" w:themeColor="text1"/>
          <w:sz w:val="28"/>
          <w:szCs w:val="28"/>
          <w:highlight w:val="none"/>
        </w:rPr>
        <w:t xml:space="preserve"> 40 рублей.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</w:p>
    <w:p>
      <w:pPr>
        <w:tabs>
          <w:tab w:val="left" w:pos="993" w:leader="none"/>
        </w:tabs>
        <w:ind w:left="0" w:right="0" w:firstLine="709"/>
        <w:jc w:val="both"/>
      </w:pPr>
      <w:r>
        <w:rPr>
          <w:rFonts w:ascii="Times New Roman" w:hAnsi="Times New Roman"/>
          <w:spacing w:val="-4"/>
          <w:sz w:val="28"/>
          <w:szCs w:val="28"/>
        </w:rPr>
        <w:t xml:space="preserve">3. 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на </w:t>
      </w:r>
      <w:r>
        <w:rPr>
          <w:rFonts w:ascii="Times New Roman" w:hAnsi="Times New Roman"/>
          <w:color w:val="000000"/>
          <w:sz w:val="28"/>
          <w:szCs w:val="28"/>
          <w:highlight w:val="white"/>
          <w:lang w:eastAsia="ru-RU"/>
        </w:rPr>
        <w:t xml:space="preserve">заместителя Губернатора Белгородской области Базарова В.В.</w:t>
      </w:r>
      <w:r>
        <w:rPr>
          <w:rFonts w:ascii="Times New Roman" w:hAnsi="Times New Roman"/>
          <w:sz w:val="28"/>
          <w:szCs w:val="28"/>
          <w:highlight w:val="white"/>
          <w:lang w:eastAsia="ru-RU"/>
        </w:rPr>
      </w:r>
    </w:p>
    <w:p>
      <w:pPr>
        <w:ind w:left="0" w:righ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4. 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Настоящее постановление вступает в силу со дня его официального опубликования. </w:t>
      </w:r>
      <w:r>
        <w:rPr>
          <w:rFonts w:ascii="Times New Roman" w:hAnsi="Times New Roman"/>
          <w:spacing w:val="-4"/>
          <w:sz w:val="28"/>
          <w:szCs w:val="28"/>
        </w:rPr>
      </w:r>
    </w:p>
    <w:p>
      <w:pPr>
        <w:pStyle w:val="7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7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0" w:type="auto"/>
        <w:jc w:val="center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3539"/>
        <w:gridCol w:w="6232"/>
      </w:tblGrid>
      <w:tr>
        <w:trPr/>
        <w:tc>
          <w:tcPr>
            <w:tcW w:w="3539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center"/>
          </w:tcPr>
          <w:p>
            <w:pPr>
              <w:pStyle w:val="72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Губернатор</w:t>
            </w:r>
          </w:p>
          <w:p>
            <w:pPr>
              <w:pStyle w:val="72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Белгородской области</w:t>
            </w:r>
          </w:p>
        </w:tc>
        <w:tc>
          <w:tcPr>
            <w:tcW w:w="623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bottom"/>
          </w:tcPr>
          <w:p>
            <w:pPr>
              <w:pStyle w:val="721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В.В. Гладков</w:t>
            </w:r>
          </w:p>
        </w:tc>
      </w:tr>
    </w:tbl>
    <w:p>
      <w:pPr>
        <w:pStyle w:val="721"/>
        <w:ind w:firstLine="720"/>
        <w:jc w:val="both"/>
      </w:pP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Приложение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/>
          <w:b/>
          <w:bCs/>
          <w:sz w:val="28"/>
          <w:szCs w:val="28"/>
        </w:rPr>
        <w:t xml:space="preserve">постановлени</w:t>
      </w:r>
      <w:r>
        <w:rPr>
          <w:rFonts w:ascii="Times New Roman" w:hAnsi="Times New Roman"/>
          <w:b/>
          <w:bCs/>
          <w:sz w:val="28"/>
          <w:szCs w:val="28"/>
        </w:rPr>
        <w:t xml:space="preserve">ю</w:t>
      </w:r>
      <w:r>
        <w:rPr>
          <w:rFonts w:ascii="Times New Roman" w:hAnsi="Times New Roman"/>
          <w:b/>
          <w:bCs/>
          <w:sz w:val="28"/>
          <w:szCs w:val="28"/>
        </w:rPr>
        <w:t xml:space="preserve"> Правительства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Белгородской области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ind w:left="540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«____»________20___ г</w:t>
      </w:r>
      <w:r>
        <w:rPr>
          <w:rFonts w:ascii="Times New Roman" w:hAnsi="Times New Roman"/>
          <w:b/>
          <w:bCs/>
          <w:sz w:val="28"/>
          <w:szCs w:val="28"/>
        </w:rPr>
        <w:t xml:space="preserve">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textWrapping" w:clear="all"/>
      </w:r>
      <w:r>
        <w:rPr>
          <w:rFonts w:ascii="Times New Roman" w:hAnsi="Times New Roman"/>
          <w:b/>
          <w:bCs/>
          <w:sz w:val="28"/>
          <w:szCs w:val="28"/>
        </w:rPr>
        <w:t xml:space="preserve">№ ____</w:t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Методика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расчета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</w:t>
      </w:r>
      <w:r>
        <w:rPr>
          <w:b/>
          <w:bCs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left="0" w:right="0" w:firstLine="709"/>
        <w:jc w:val="both"/>
        <w:rPr>
          <w:b w:val="0"/>
          <w:bCs w:val="0"/>
        </w:rPr>
      </w:pPr>
      <w:r>
        <w:rPr>
          <w:rFonts w:ascii="Times New Roman" w:hAnsi="Times New Roman"/>
          <w:sz w:val="28"/>
          <w:szCs w:val="28"/>
        </w:rPr>
        <w:t xml:space="preserve">1. Методика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расчета размера платы за пользование платными парковками на автомобильных дорогах регионального или межмуниципального значения, автомобильных дорогах местного значения Белгородской области</w:t>
      </w:r>
      <w:r>
        <w:rPr>
          <w:rFonts w:ascii="Times New Roman" w:hAnsi="Times New Roman"/>
          <w:sz w:val="28"/>
          <w:szCs w:val="28"/>
        </w:rPr>
        <w:t xml:space="preserve"> (далее - Методика) разработана в соответствии с пунктом 7 части 1 статьи 6 Федерального закона от 29 декабря 2017 года № 443-ФЗ «Об организации дорожного движения в Российс</w:t>
      </w:r>
      <w:r>
        <w:rPr>
          <w:rFonts w:ascii="Times New Roman" w:hAnsi="Times New Roman"/>
          <w:sz w:val="28"/>
          <w:szCs w:val="28"/>
        </w:rPr>
        <w:t xml:space="preserve">кой Федерации и о внесении изменений </w:t>
        <w:br/>
        <w:t xml:space="preserve">в отдельные законодательные акты Российской Федерации» (далее - Федеральный закон № 443-ФЗ) и предназначена для использования исполнительными органами, органами местного самоуправления Белгородской области при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р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счете размера платы за пользование платными парковками </w:t>
        <w:br/>
        <w:t xml:space="preserve">на автомобильных дорогах регионального или межмуниципального значения, автомобильных дорогах местного значения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Методика также применима при определении размера платы для парковок, расположенных на улично-дорожной сети и парковок, находящихся </w:t>
        <w:br/>
        <w:t xml:space="preserve">в здании, строении или сооружении либо в части здания, строения или сооружения (далее - внеуличные парковки).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2. Размер платы за пользование платной парковкой устанавливается владельцем парковки в расчете на одно транспортное средство за один час </w:t>
        <w:br/>
        <w:t xml:space="preserve">с учетом места размещения парковки, ее назначения, типа размещаемых транспортных средств, продолжительности </w:t>
      </w:r>
      <w:r>
        <w:rPr>
          <w:rFonts w:ascii="Times New Roman" w:hAnsi="Times New Roman"/>
          <w:sz w:val="28"/>
          <w:szCs w:val="28"/>
        </w:rPr>
        <w:t xml:space="preserve">парковочной сессии </w:t>
        <w:br/>
        <w:t xml:space="preserve">и заполняемости парковки в различные периоды времени. Размер платы </w:t>
        <w:br/>
        <w:t xml:space="preserve">за пользование платной парковкой в течение иных единиц времени может определяться пропорционально.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Владельцам внеуличных парковок при определении размера платы рекомендуется учитывать заполняемость парковок на прилегающей территории и устанавливать размер платы, который стимулирует использование внеуличных парковок вместо парковок, расположенных на ул</w:t>
      </w:r>
      <w:r>
        <w:rPr>
          <w:rFonts w:ascii="Times New Roman" w:hAnsi="Times New Roman"/>
          <w:sz w:val="28"/>
          <w:szCs w:val="28"/>
        </w:rPr>
        <w:t xml:space="preserve">ично-дорожной сети. Для этих целей рекомендуется использовать понижающий коэффициент  0,8 относительно установленного размера платы за пользование парковками </w:t>
        <w:br/>
        <w:t xml:space="preserve">на улично-дорожной сети на прилегающих к внеуличным парковкам территориях.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Приоритетными целями введения платы за пользование парковочными местами являются не извлечение прибыли владельцем парковки, а обеспечение доступности территорий и объектов капитального строительства, повышение эффективности организации дорожного движения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регулирование спроса </w:t>
        <w:br/>
        <w:t xml:space="preserve">на поездки с использованием личных легковых автомобилей. Рекомендуется предусмотреть гибкую тарифную политику, обеспечивающую наибольший социально-экономический эффект для транспортной системы и общества </w:t>
        <w:br/>
        <w:t xml:space="preserve">в целом с учетом региональных</w:t>
      </w:r>
      <w:r>
        <w:rPr>
          <w:rFonts w:ascii="Times New Roman" w:hAnsi="Times New Roman"/>
          <w:sz w:val="28"/>
          <w:szCs w:val="28"/>
        </w:rPr>
        <w:t xml:space="preserve"> и местных особенностей.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5. Размер платы за пользование парковкой определяется на основе экономического механизма баланса спроса и предложения. Для определения спроса рекомендуется использовать данные о заполняемости парковки (отношение числа занятых транспортными средс</w:t>
      </w:r>
      <w:r>
        <w:rPr>
          <w:rFonts w:ascii="Times New Roman" w:hAnsi="Times New Roman"/>
          <w:sz w:val="28"/>
          <w:szCs w:val="28"/>
        </w:rPr>
        <w:t xml:space="preserve">твами парковочных мест </w:t>
        <w:br/>
        <w:t xml:space="preserve">к числу предусмотренных (организованных) на парковке мест в определенный момент времени).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 Если в качестве парковки рассматривается зона, объединяющая несколько парковок, то расчет заполняемости должен учитывать суммарное число припаркованных автомобилей и суммарное число предусмотренных (организованных) на парковке мест на территории выбранно</w:t>
      </w:r>
      <w:r>
        <w:rPr>
          <w:rFonts w:ascii="Times New Roman" w:hAnsi="Times New Roman"/>
          <w:sz w:val="28"/>
          <w:szCs w:val="28"/>
        </w:rPr>
        <w:t xml:space="preserve">й зоны </w:t>
        <w:br/>
        <w:t xml:space="preserve">в определенный момент времени.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7. Для оценки заполняемости парковки используются технические средства, обеспечивающие мониторинг занятости парковочных мест </w:t>
        <w:br/>
        <w:t xml:space="preserve">в автоматическом режиме (детекторов занятости, средств обработки видеоизображений, данных о транзакциях за оплату парк</w:t>
      </w:r>
      <w:r>
        <w:rPr>
          <w:rFonts w:ascii="Times New Roman" w:hAnsi="Times New Roman"/>
          <w:sz w:val="28"/>
          <w:szCs w:val="28"/>
        </w:rPr>
        <w:t xml:space="preserve">овочных сессий и т.п.).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 отсутствии технических средств мониторинга допускается проводить визуальные замеры не менее двух раз в одни и те же дни недели утром, днем, вечером и ночью (включая отдельные замеры по выходным, предпраздничным, праздничным дням и т.д.), проводя усредне</w:t>
      </w:r>
      <w:r>
        <w:rPr>
          <w:rFonts w:ascii="Times New Roman" w:hAnsi="Times New Roman"/>
          <w:sz w:val="28"/>
          <w:szCs w:val="28"/>
        </w:rPr>
        <w:t xml:space="preserve">ние полученных значений. Рекомендуются следующие временные интервалы: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«утро»: 08:00 - 12:00;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«день»: 12:00 - 16:00;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«вечер»: 16:00 - 20:00;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«ночь»: 20:00 - 08:00.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. Введение платы за пользование парковкой в определенном временном интервале рекомендуется в случае, если наблюдаемое по данным автоматического мониторинга или полученное в ходе натурных обследований значение заполняемости парковки в соответствующий период</w:t>
      </w:r>
      <w:r>
        <w:rPr>
          <w:rFonts w:ascii="Times New Roman" w:hAnsi="Times New Roman"/>
          <w:sz w:val="28"/>
          <w:szCs w:val="28"/>
        </w:rPr>
        <w:t xml:space="preserve"> времени превышает 85%.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9. В расчетах начального размера платы за пользование парковкой рекомендуется учитывать величину среднедушевого дохода в Белгородской области и (или) муниципальном образовании, а также данных социологических исследований о готовности платить за пол</w:t>
      </w:r>
      <w:r>
        <w:rPr>
          <w:rFonts w:ascii="Times New Roman" w:hAnsi="Times New Roman"/>
          <w:sz w:val="28"/>
          <w:szCs w:val="28"/>
        </w:rPr>
        <w:t xml:space="preserve">ьзование парковочными местами. При отсутствии данных исследований допускается определять начальный размер платы за один час пользования парковкой по следующей формуле: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16"/>
          <w:szCs w:val="16"/>
        </w:rPr>
        <w:t xml:space="preserve">баз</w:t>
      </w:r>
      <w:r>
        <w:rPr>
          <w:rFonts w:ascii="Times New Roman" w:hAnsi="Times New Roman"/>
          <w:sz w:val="28"/>
          <w:szCs w:val="28"/>
        </w:rPr>
        <w:t xml:space="preserve">=1/2 (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16"/>
          <w:szCs w:val="16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*</w:t>
      </w:r>
      <w:r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16"/>
          <w:szCs w:val="16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16"/>
          <w:szCs w:val="16"/>
        </w:rPr>
        <w:t xml:space="preserve">СР</w:t>
      </w:r>
      <w:r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16"/>
          <w:szCs w:val="16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) 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где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16"/>
          <w:szCs w:val="16"/>
        </w:rPr>
        <w:t xml:space="preserve">баз</w:t>
      </w:r>
      <w:r>
        <w:rPr>
          <w:rFonts w:ascii="Times New Roman" w:hAnsi="Times New Roman"/>
          <w:sz w:val="28"/>
          <w:szCs w:val="28"/>
        </w:rPr>
        <w:t xml:space="preserve"> - начальный размер платы за один час пользования парковкой, рублей (рекомендуется округлять в большую сторону до величины, кратной 5 рублям);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16"/>
          <w:szCs w:val="16"/>
        </w:rPr>
        <w:t xml:space="preserve">ОТ</w:t>
      </w:r>
      <w:r>
        <w:rPr>
          <w:rFonts w:ascii="Times New Roman" w:hAnsi="Times New Roman"/>
          <w:sz w:val="28"/>
          <w:szCs w:val="28"/>
        </w:rPr>
        <w:t xml:space="preserve"> - тариф за проезд на общественном транспорте в данном муниципальном образовании, рублей;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16"/>
          <w:szCs w:val="16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 - эмпирический коэффициент, принимающий значение 0,5 </w:t>
        <w:br/>
        <w:t xml:space="preserve">для Белгородской области;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16"/>
          <w:szCs w:val="16"/>
        </w:rPr>
        <w:t xml:space="preserve">СР</w:t>
      </w:r>
      <w:r>
        <w:rPr>
          <w:rFonts w:ascii="Times New Roman" w:hAnsi="Times New Roman"/>
          <w:sz w:val="28"/>
          <w:szCs w:val="28"/>
        </w:rPr>
        <w:t xml:space="preserve"> - величина среднедушевого денежного дохода населения </w:t>
        <w:br/>
        <w:t xml:space="preserve">в Белгородской области и (или) в городском округе, муниципальном районе Белгородской области, рублей в месяц (по данным Росстата);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К</w:t>
      </w:r>
      <w:r>
        <w:rPr>
          <w:rFonts w:ascii="Times New Roman" w:hAnsi="Times New Roman"/>
          <w:sz w:val="16"/>
          <w:szCs w:val="16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 - эмпирический коэффициент, принимающий значение 0,0015 </w:t>
      </w:r>
      <w:r>
        <w:rPr>
          <w:rFonts w:ascii="Times New Roman" w:hAnsi="Times New Roman"/>
          <w:sz w:val="28"/>
          <w:szCs w:val="28"/>
        </w:rPr>
        <w:t xml:space="preserve">для Белгородской области</w:t>
      </w:r>
      <w:r>
        <w:rPr>
          <w:rFonts w:ascii="Times New Roman" w:hAnsi="Times New Roman"/>
          <w:sz w:val="28"/>
          <w:szCs w:val="28"/>
        </w:rPr>
        <w:t xml:space="preserve">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0. На парковках, где уже введена плата за пользование, рекомендуется придерживаться тарифной политики, направленной на поддержание заполняемости парковки на уровне от 70% до 85% (далее - рекомендуемый интервал). Выход значения данного показателя за границы</w:t>
      </w:r>
      <w:r>
        <w:rPr>
          <w:rFonts w:ascii="Times New Roman" w:hAnsi="Times New Roman"/>
          <w:sz w:val="28"/>
          <w:szCs w:val="28"/>
        </w:rPr>
        <w:t xml:space="preserve"> рекомендуемого интервала свидетельствует о потребности в корректировке величины установленного размера платы за пользование платными парковками.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11.</w:t>
      </w:r>
      <w:r>
        <w:rPr>
          <w:rFonts w:ascii="Times New Roman" w:hAnsi="Times New Roman"/>
          <w:sz w:val="28"/>
          <w:szCs w:val="28"/>
        </w:rPr>
        <w:t xml:space="preserve"> Оценку заполняемости парковки после введения платы </w:t>
        <w:br/>
        <w:t xml:space="preserve">и корректировку размера платы пользования парковкой рекомендуется проводить с периодичностью от 1 раза в месяц до 1 раза в квартал </w:t>
        <w:br/>
        <w:t xml:space="preserve">на усмотрение владельца парковки. Изменение размера платы за пользовани</w:t>
      </w:r>
      <w:r>
        <w:rPr>
          <w:rFonts w:ascii="Times New Roman" w:hAnsi="Times New Roman"/>
          <w:sz w:val="28"/>
          <w:szCs w:val="28"/>
        </w:rPr>
        <w:t xml:space="preserve">е парковкой рекомендуется проводить с шагом кратным 5 рублям.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12. Для дифференцированного подхода к определению размера платы </w:t>
        <w:br/>
        <w:t xml:space="preserve">за пользование парковкой могут быть введены следующие повышающие </w:t>
        <w:br/>
        <w:t xml:space="preserve">и понижающие коэффициенты: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1)</w:t>
      </w:r>
      <w:r>
        <w:rPr>
          <w:rFonts w:ascii="Times New Roman" w:hAnsi="Times New Roman"/>
          <w:sz w:val="28"/>
          <w:szCs w:val="28"/>
        </w:rPr>
        <w:t xml:space="preserve"> коэффициенты, учитывающие дифференциацию размера платы </w:t>
        <w:br/>
        <w:t xml:space="preserve">за пользование парковкой в зависимости от ее назначения. Например, рекомендуется вводить понижающий коэффициент со значением 0,8 в случае расположения парковки в непосредственной близости от конечны</w:t>
      </w:r>
      <w:r>
        <w:rPr>
          <w:rFonts w:ascii="Times New Roman" w:hAnsi="Times New Roman"/>
          <w:sz w:val="28"/>
          <w:szCs w:val="28"/>
        </w:rPr>
        <w:t xml:space="preserve">х</w:t>
      </w:r>
      <w:r>
        <w:rPr>
          <w:rFonts w:ascii="Times New Roman" w:hAnsi="Times New Roman"/>
          <w:sz w:val="28"/>
          <w:szCs w:val="28"/>
        </w:rPr>
        <w:t xml:space="preserve"> станций метрополитена, крупных станций пересадок пассажирского транспорта, в том числе железнодорожного транспорта, в целях организации парковок перехватывающего типа и стимулирования использования транспорта общего пользования для разгрузки дорожной сети</w:t>
      </w:r>
      <w:r>
        <w:rPr>
          <w:rFonts w:ascii="Times New Roman" w:hAnsi="Times New Roman"/>
          <w:sz w:val="28"/>
          <w:szCs w:val="28"/>
        </w:rPr>
        <w:t xml:space="preserve">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2)</w:t>
      </w:r>
      <w:r>
        <w:rPr>
          <w:rFonts w:ascii="Times New Roman" w:hAnsi="Times New Roman"/>
          <w:sz w:val="28"/>
          <w:szCs w:val="28"/>
        </w:rPr>
        <w:t xml:space="preserve"> коэффициенты, учитывающие дифференциацию размера платы </w:t>
        <w:br/>
        <w:t xml:space="preserve">за пользование парковкой в зависимости от типа размещаемых на ней транспортных средств и пользователей транспортных средств. Примером является понижающий коэффициент, вводимый для электромобилей или </w:t>
      </w:r>
      <w:r>
        <w:rPr>
          <w:rFonts w:ascii="Times New Roman" w:hAnsi="Times New Roman"/>
          <w:sz w:val="28"/>
          <w:szCs w:val="28"/>
        </w:rPr>
        <w:t xml:space="preserve">мотоциклов, а также льготные тарифы для определенных групп пользователей;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3) ко</w:t>
      </w:r>
      <w:r>
        <w:rPr>
          <w:rFonts w:ascii="Times New Roman" w:hAnsi="Times New Roman"/>
          <w:sz w:val="28"/>
          <w:szCs w:val="28"/>
        </w:rPr>
        <w:t xml:space="preserve">эффициенты, учитывающие дифференциацию размера платы </w:t>
        <w:br/>
        <w:t xml:space="preserve">за пользование парковкой в зависимости от продолжительности </w:t>
        <w:br/>
        <w:t xml:space="preserve">ее использования. Данные коэффициенты могут быть как понижающими, так </w:t>
        <w:br/>
        <w:t xml:space="preserve">и повышающими, а также иметь прогрессивную шкалу в зависимости </w:t>
        <w:br/>
        <w:t xml:space="preserve">от наз</w:t>
      </w:r>
      <w:r>
        <w:rPr>
          <w:rFonts w:ascii="Times New Roman" w:hAnsi="Times New Roman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</w:rPr>
        <w:t xml:space="preserve">чения парковки. Например, повышающие коэффициенты могут быть введены для продолжительных периодов паркования с целью повышения оборачиваемости парковочных мест в общественно-деловых зонах, </w:t>
        <w:br/>
        <w:t xml:space="preserve">а понижающие для повышения привлекательности объектов культурно-бы</w:t>
      </w:r>
      <w:r>
        <w:rPr>
          <w:rFonts w:ascii="Times New Roman" w:hAnsi="Times New Roman"/>
          <w:sz w:val="28"/>
          <w:szCs w:val="28"/>
        </w:rPr>
        <w:t xml:space="preserve">тового и иного назначения в жилых и рекреационных зонах.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3. Стоимость абонементов на пользование парковками рекомендуется рассчитывать исходя из баланса спроса и предложения, обеспечивающего долю пользователей, предпочитающих абонементы, на уровне, не превышающем 20% от общего числа парковочных сессий на каждой </w:t>
      </w:r>
      <w:r>
        <w:rPr>
          <w:rFonts w:ascii="Times New Roman" w:hAnsi="Times New Roman"/>
          <w:sz w:val="28"/>
          <w:szCs w:val="28"/>
        </w:rPr>
        <w:t xml:space="preserve">из парковок (зон).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14. В качестве основного критерия оценки применяемой тарифной политики рекомендуется выбирать условие нахождения значения заполняемости парковки в границах рекомендуемого интервала.</w:t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15. При наличии технической возможности рекомендуется вводить динамическое ценообразование в зависимости от уровня текущего спроса, </w:t>
        <w:br/>
        <w:t xml:space="preserve">в автоматическом режиме обеспечивающее заполняемость парковки на уровне 90 - 95%.</w:t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89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888" w:type="dxa"/>
        <w:tblInd w:w="-7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3"/>
        <w:gridCol w:w="5244"/>
      </w:tblGrid>
      <w:tr>
        <w:trPr/>
        <w:tc>
          <w:tcPr>
            <w:tcW w:w="464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72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автомобильных дорог и транспорта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Белгородской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524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bottom"/>
          </w:tcPr>
          <w:p>
            <w:pPr>
              <w:pStyle w:val="721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С.В. Евтушенко</w:t>
            </w:r>
          </w:p>
        </w:tc>
      </w:tr>
    </w:tbl>
    <w:p/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567" w:bottom="1079" w:left="1701" w:header="709" w:footer="34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jc w:val="center"/>
      <w:rPr>
        <w:rFonts w:ascii="Times New Roman" w:hAnsi="Times New Roman"/>
      </w:rPr>
    </w:pPr>
    <w:r>
      <w:rPr>
        <w:rFonts w:ascii="Times New Roman" w:hAnsi="Times New Roman"/>
      </w:rPr>
    </w:r>
  </w:p>
  <w:p>
    <w:pPr>
      <w:pStyle w:val="754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12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</w:p>
  <w:p>
    <w:pPr>
      <w:pStyle w:val="752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721"/>
        <w:ind w:left="630" w:hanging="630"/>
      </w:pPr>
      <w:rPr>
        <w:rFonts w:ascii="Times New Roman CYR" w:hAnsi="Times New Roman CYR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pStyle w:val="721"/>
        <w:ind w:left="1428" w:hanging="720"/>
      </w:pPr>
      <w:rPr>
        <w:rFonts w:ascii="Times New Roman CYR" w:hAnsi="Times New Roman CYR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721"/>
        <w:ind w:left="2136" w:hanging="720"/>
      </w:pPr>
      <w:rPr>
        <w:rFonts w:ascii="Times New Roman CYR" w:hAnsi="Times New Roman CYR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721"/>
        <w:ind w:left="3204" w:hanging="1080"/>
      </w:pPr>
      <w:rPr>
        <w:rFonts w:ascii="Times New Roman CYR" w:hAnsi="Times New Roman CYR" w:eastAsia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721"/>
        <w:ind w:left="3912" w:hanging="1080"/>
      </w:pPr>
      <w:rPr>
        <w:rFonts w:ascii="Times New Roman CYR" w:hAnsi="Times New Roman CYR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721"/>
        <w:ind w:left="4980" w:hanging="1440"/>
      </w:pPr>
      <w:rPr>
        <w:rFonts w:ascii="Times New Roman CYR" w:hAnsi="Times New Roman CYR" w:eastAsia="Times New Roman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721"/>
        <w:ind w:left="6048" w:hanging="1800"/>
      </w:pPr>
      <w:rPr>
        <w:rFonts w:ascii="Times New Roman CYR" w:hAnsi="Times New Roman CYR" w:eastAsia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721"/>
        <w:ind w:left="6756" w:hanging="1800"/>
      </w:pPr>
      <w:rPr>
        <w:rFonts w:ascii="Times New Roman CYR" w:hAnsi="Times New Roman CYR" w:eastAsia="Times New Roman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721"/>
        <w:ind w:left="7824" w:hanging="2160"/>
      </w:pPr>
      <w:rPr>
        <w:rFonts w:ascii="Times New Roman CYR" w:hAnsi="Times New Roman CYR" w:eastAsia="Times New Roman"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721"/>
        <w:ind w:left="600" w:hanging="600"/>
      </w:pPr>
      <w:rPr>
        <w:rFonts w:cs="Times New Roman"/>
      </w:rPr>
    </w:lvl>
    <w:lvl w:ilvl="1">
      <w:start w:val="14"/>
      <w:numFmt w:val="decimal"/>
      <w:isLgl w:val="false"/>
      <w:suff w:val="tab"/>
      <w:lvlText w:val="%1.%2."/>
      <w:lvlJc w:val="left"/>
      <w:pPr>
        <w:pStyle w:val="721"/>
        <w:ind w:left="1428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721"/>
        <w:ind w:left="2136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721"/>
        <w:ind w:left="3204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721"/>
        <w:ind w:left="3912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721"/>
        <w:ind w:left="498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721"/>
        <w:ind w:left="6048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721"/>
        <w:ind w:left="6756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721"/>
        <w:ind w:left="7824" w:hanging="216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721"/>
        <w:ind w:left="630" w:hanging="630"/>
      </w:pPr>
      <w:rPr>
        <w:rFonts w:ascii="Times New Roman CYR" w:hAnsi="Times New Roman CYR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pStyle w:val="721"/>
        <w:ind w:left="1428" w:hanging="720"/>
      </w:pPr>
      <w:rPr>
        <w:rFonts w:ascii="Times New Roman CYR" w:hAnsi="Times New Roman CYR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721"/>
        <w:ind w:left="2136" w:hanging="720"/>
      </w:pPr>
      <w:rPr>
        <w:rFonts w:ascii="Times New Roman CYR" w:hAnsi="Times New Roman CYR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pStyle w:val="721"/>
        <w:ind w:left="3204" w:hanging="1080"/>
      </w:pPr>
      <w:rPr>
        <w:rFonts w:ascii="Times New Roman CYR" w:hAnsi="Times New Roman CYR" w:eastAsia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pStyle w:val="721"/>
        <w:ind w:left="3912" w:hanging="1080"/>
      </w:pPr>
      <w:rPr>
        <w:rFonts w:ascii="Times New Roman CYR" w:hAnsi="Times New Roman CYR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pStyle w:val="721"/>
        <w:ind w:left="4980" w:hanging="1440"/>
      </w:pPr>
      <w:rPr>
        <w:rFonts w:ascii="Times New Roman CYR" w:hAnsi="Times New Roman CYR" w:eastAsia="Times New Roman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pStyle w:val="721"/>
        <w:ind w:left="6048" w:hanging="1800"/>
      </w:pPr>
      <w:rPr>
        <w:rFonts w:ascii="Times New Roman CYR" w:hAnsi="Times New Roman CYR" w:eastAsia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721"/>
        <w:ind w:left="6756" w:hanging="1800"/>
      </w:pPr>
      <w:rPr>
        <w:rFonts w:ascii="Times New Roman CYR" w:hAnsi="Times New Roman CYR" w:eastAsia="Times New Roman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721"/>
        <w:ind w:left="7824" w:hanging="2160"/>
      </w:pPr>
      <w:rPr>
        <w:rFonts w:ascii="Times New Roman CYR" w:hAnsi="Times New Roman CYR" w:eastAsia="Times New Roman"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6" w:hanging="1056"/>
      </w:pPr>
      <w:rPr>
        <w:rFonts w:ascii="Times New Roman" w:hAnsi="Times New Roman"/>
        <w:b w:val="0"/>
        <w:bCs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Heading 1"/>
    <w:basedOn w:val="721"/>
    <w:next w:val="721"/>
    <w:link w:val="678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8">
    <w:name w:val="Heading 1 Char"/>
    <w:link w:val="677"/>
    <w:uiPriority w:val="9"/>
    <w:rPr>
      <w:rFonts w:ascii="Arial" w:hAnsi="Arial" w:eastAsia="Arial" w:cs="Arial"/>
      <w:sz w:val="40"/>
      <w:szCs w:val="40"/>
    </w:rPr>
  </w:style>
  <w:style w:type="paragraph" w:styleId="679">
    <w:name w:val="Heading 2"/>
    <w:basedOn w:val="721"/>
    <w:next w:val="721"/>
    <w:link w:val="68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0">
    <w:name w:val="Heading 2 Char"/>
    <w:link w:val="679"/>
    <w:uiPriority w:val="9"/>
    <w:rPr>
      <w:rFonts w:ascii="Arial" w:hAnsi="Arial" w:eastAsia="Arial" w:cs="Arial"/>
      <w:sz w:val="34"/>
    </w:rPr>
  </w:style>
  <w:style w:type="paragraph" w:styleId="681">
    <w:name w:val="Heading 3"/>
    <w:basedOn w:val="721"/>
    <w:next w:val="721"/>
    <w:link w:val="68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2">
    <w:name w:val="Heading 3 Char"/>
    <w:link w:val="681"/>
    <w:uiPriority w:val="9"/>
    <w:rPr>
      <w:rFonts w:ascii="Arial" w:hAnsi="Arial" w:eastAsia="Arial" w:cs="Arial"/>
      <w:sz w:val="30"/>
      <w:szCs w:val="30"/>
    </w:rPr>
  </w:style>
  <w:style w:type="paragraph" w:styleId="683">
    <w:name w:val="Heading 4"/>
    <w:basedOn w:val="721"/>
    <w:next w:val="721"/>
    <w:link w:val="684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4">
    <w:name w:val="Heading 4 Char"/>
    <w:link w:val="683"/>
    <w:uiPriority w:val="9"/>
    <w:rPr>
      <w:rFonts w:ascii="Arial" w:hAnsi="Arial" w:eastAsia="Arial" w:cs="Arial"/>
      <w:b/>
      <w:bCs/>
      <w:sz w:val="26"/>
      <w:szCs w:val="26"/>
    </w:rPr>
  </w:style>
  <w:style w:type="paragraph" w:styleId="685">
    <w:name w:val="Heading 5"/>
    <w:basedOn w:val="721"/>
    <w:next w:val="721"/>
    <w:link w:val="686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6">
    <w:name w:val="Heading 5 Char"/>
    <w:link w:val="685"/>
    <w:uiPriority w:val="9"/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721"/>
    <w:next w:val="721"/>
    <w:link w:val="688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8">
    <w:name w:val="Heading 6 Char"/>
    <w:link w:val="687"/>
    <w:uiPriority w:val="9"/>
    <w:rPr>
      <w:rFonts w:ascii="Arial" w:hAnsi="Arial" w:eastAsia="Arial" w:cs="Arial"/>
      <w:b/>
      <w:bCs/>
      <w:sz w:val="22"/>
      <w:szCs w:val="22"/>
    </w:rPr>
  </w:style>
  <w:style w:type="paragraph" w:styleId="689">
    <w:name w:val="Heading 7"/>
    <w:basedOn w:val="721"/>
    <w:next w:val="721"/>
    <w:link w:val="69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7 Char"/>
    <w:link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721"/>
    <w:next w:val="721"/>
    <w:link w:val="692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2">
    <w:name w:val="Heading 8 Char"/>
    <w:link w:val="691"/>
    <w:uiPriority w:val="9"/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721"/>
    <w:next w:val="721"/>
    <w:link w:val="694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>
    <w:name w:val="Heading 9 Char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Title"/>
    <w:basedOn w:val="721"/>
    <w:next w:val="721"/>
    <w:link w:val="69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96">
    <w:name w:val="Title Char"/>
    <w:link w:val="695"/>
    <w:uiPriority w:val="10"/>
    <w:rPr>
      <w:sz w:val="48"/>
      <w:szCs w:val="48"/>
    </w:rPr>
  </w:style>
  <w:style w:type="paragraph" w:styleId="697">
    <w:name w:val="Subtitle"/>
    <w:basedOn w:val="721"/>
    <w:next w:val="72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>
    <w:name w:val="Subtitle Char"/>
    <w:link w:val="697"/>
    <w:uiPriority w:val="11"/>
    <w:rPr>
      <w:sz w:val="24"/>
      <w:szCs w:val="24"/>
    </w:rPr>
  </w:style>
  <w:style w:type="paragraph" w:styleId="699">
    <w:name w:val="Header"/>
    <w:basedOn w:val="721"/>
    <w:link w:val="75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700">
    <w:name w:val="Footer"/>
    <w:basedOn w:val="721"/>
    <w:link w:val="702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701">
    <w:name w:val="Caption"/>
    <w:basedOn w:val="721"/>
    <w:next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700"/>
    <w:uiPriority w:val="99"/>
  </w:style>
  <w:style w:type="table" w:styleId="70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04">
    <w:name w:val="Hyperlink"/>
    <w:uiPriority w:val="99"/>
    <w:unhideWhenUsed/>
    <w:rPr>
      <w:color w:val="0000ff" w:themeColor="hyperlink"/>
      <w:u w:val="single"/>
    </w:rPr>
  </w:style>
  <w:style w:type="paragraph" w:styleId="705">
    <w:name w:val="footnote text"/>
    <w:basedOn w:val="721"/>
    <w:link w:val="706"/>
    <w:uiPriority w:val="99"/>
    <w:semiHidden/>
    <w:unhideWhenUsed/>
    <w:pPr>
      <w:spacing w:after="40" w:line="240" w:lineRule="auto"/>
    </w:pPr>
    <w:rPr>
      <w:sz w:val="18"/>
    </w:rPr>
  </w:style>
  <w:style w:type="character" w:styleId="706">
    <w:name w:val="Footnote Text Char"/>
    <w:link w:val="705"/>
    <w:uiPriority w:val="99"/>
    <w:rPr>
      <w:sz w:val="18"/>
    </w:rPr>
  </w:style>
  <w:style w:type="character" w:styleId="707">
    <w:name w:val="footnote reference"/>
    <w:uiPriority w:val="99"/>
    <w:unhideWhenUsed/>
    <w:rPr>
      <w:vertAlign w:val="superscript"/>
    </w:rPr>
  </w:style>
  <w:style w:type="paragraph" w:styleId="708">
    <w:name w:val="endnote text"/>
    <w:basedOn w:val="721"/>
    <w:link w:val="709"/>
    <w:uiPriority w:val="99"/>
    <w:semiHidden/>
    <w:unhideWhenUsed/>
    <w:pPr>
      <w:spacing w:after="0" w:line="240" w:lineRule="auto"/>
    </w:pPr>
    <w:rPr>
      <w:sz w:val="20"/>
    </w:rPr>
  </w:style>
  <w:style w:type="character" w:styleId="709">
    <w:name w:val="Endnote Text Char"/>
    <w:link w:val="708"/>
    <w:uiPriority w:val="99"/>
    <w:rPr>
      <w:sz w:val="20"/>
    </w:rPr>
  </w:style>
  <w:style w:type="character" w:styleId="710">
    <w:name w:val="endnote reference"/>
    <w:uiPriority w:val="99"/>
    <w:semiHidden/>
    <w:unhideWhenUsed/>
    <w:rPr>
      <w:vertAlign w:val="superscript"/>
    </w:rPr>
  </w:style>
  <w:style w:type="paragraph" w:styleId="711">
    <w:name w:val="toc 1"/>
    <w:basedOn w:val="721"/>
    <w:next w:val="721"/>
    <w:uiPriority w:val="39"/>
    <w:unhideWhenUsed/>
    <w:pPr>
      <w:spacing w:after="57"/>
      <w:ind w:left="0" w:right="0" w:firstLine="0"/>
    </w:pPr>
  </w:style>
  <w:style w:type="paragraph" w:styleId="712">
    <w:name w:val="toc 2"/>
    <w:basedOn w:val="721"/>
    <w:next w:val="721"/>
    <w:uiPriority w:val="39"/>
    <w:unhideWhenUsed/>
    <w:pPr>
      <w:spacing w:after="57"/>
      <w:ind w:left="283" w:right="0" w:firstLine="0"/>
    </w:pPr>
  </w:style>
  <w:style w:type="paragraph" w:styleId="713">
    <w:name w:val="toc 3"/>
    <w:basedOn w:val="721"/>
    <w:next w:val="721"/>
    <w:uiPriority w:val="39"/>
    <w:unhideWhenUsed/>
    <w:pPr>
      <w:spacing w:after="57"/>
      <w:ind w:left="567" w:right="0" w:firstLine="0"/>
    </w:pPr>
  </w:style>
  <w:style w:type="paragraph" w:styleId="714">
    <w:name w:val="toc 4"/>
    <w:basedOn w:val="721"/>
    <w:next w:val="721"/>
    <w:uiPriority w:val="39"/>
    <w:unhideWhenUsed/>
    <w:pPr>
      <w:spacing w:after="57"/>
      <w:ind w:left="850" w:right="0" w:firstLine="0"/>
    </w:pPr>
  </w:style>
  <w:style w:type="paragraph" w:styleId="715">
    <w:name w:val="toc 5"/>
    <w:basedOn w:val="721"/>
    <w:next w:val="721"/>
    <w:uiPriority w:val="39"/>
    <w:unhideWhenUsed/>
    <w:pPr>
      <w:spacing w:after="57"/>
      <w:ind w:left="1134" w:right="0" w:firstLine="0"/>
    </w:pPr>
  </w:style>
  <w:style w:type="paragraph" w:styleId="716">
    <w:name w:val="toc 6"/>
    <w:basedOn w:val="721"/>
    <w:next w:val="721"/>
    <w:uiPriority w:val="39"/>
    <w:unhideWhenUsed/>
    <w:pPr>
      <w:spacing w:after="57"/>
      <w:ind w:left="1417" w:right="0" w:firstLine="0"/>
    </w:pPr>
  </w:style>
  <w:style w:type="paragraph" w:styleId="717">
    <w:name w:val="toc 7"/>
    <w:basedOn w:val="721"/>
    <w:next w:val="721"/>
    <w:uiPriority w:val="39"/>
    <w:unhideWhenUsed/>
    <w:pPr>
      <w:spacing w:after="57"/>
      <w:ind w:left="1701" w:right="0" w:firstLine="0"/>
    </w:pPr>
  </w:style>
  <w:style w:type="paragraph" w:styleId="718">
    <w:name w:val="toc 8"/>
    <w:basedOn w:val="721"/>
    <w:next w:val="721"/>
    <w:uiPriority w:val="39"/>
    <w:unhideWhenUsed/>
    <w:pPr>
      <w:spacing w:after="57"/>
      <w:ind w:left="1984" w:right="0" w:firstLine="0"/>
    </w:pPr>
  </w:style>
  <w:style w:type="paragraph" w:styleId="719">
    <w:name w:val="toc 9"/>
    <w:basedOn w:val="721"/>
    <w:next w:val="721"/>
    <w:uiPriority w:val="39"/>
    <w:unhideWhenUsed/>
    <w:pPr>
      <w:spacing w:after="57"/>
      <w:ind w:left="2268" w:right="0" w:firstLine="0"/>
    </w:pPr>
  </w:style>
  <w:style w:type="paragraph" w:styleId="720">
    <w:name w:val="table of figures"/>
    <w:basedOn w:val="721"/>
    <w:next w:val="721"/>
    <w:uiPriority w:val="99"/>
    <w:unhideWhenUsed/>
    <w:pPr>
      <w:spacing w:after="0" w:afterAutospacing="0"/>
    </w:pPr>
  </w:style>
  <w:style w:type="paragraph" w:styleId="721" w:default="1">
    <w:name w:val="Normal"/>
    <w:next w:val="721"/>
    <w:link w:val="72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</w:style>
  <w:style w:type="paragraph" w:styleId="722">
    <w:name w:val="Заголовок 1"/>
    <w:basedOn w:val="721"/>
    <w:next w:val="722"/>
    <w:link w:val="734"/>
    <w:qFormat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ru-RU"/>
    </w:rPr>
  </w:style>
  <w:style w:type="paragraph" w:styleId="723">
    <w:name w:val="Заголовок 2"/>
    <w:basedOn w:val="721"/>
    <w:next w:val="723"/>
    <w:link w:val="735"/>
    <w:qFormat/>
    <w:pPr>
      <w:keepNext/>
      <w:keepLines/>
      <w:spacing w:before="360" w:after="200"/>
      <w:outlineLvl w:val="1"/>
    </w:pPr>
    <w:rPr>
      <w:rFonts w:ascii="Arial" w:hAnsi="Arial"/>
      <w:sz w:val="34"/>
      <w:lang w:eastAsia="ru-RU"/>
    </w:rPr>
  </w:style>
  <w:style w:type="paragraph" w:styleId="724">
    <w:name w:val="Заголовок 3"/>
    <w:basedOn w:val="721"/>
    <w:next w:val="724"/>
    <w:link w:val="736"/>
    <w:qFormat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ru-RU"/>
    </w:rPr>
  </w:style>
  <w:style w:type="paragraph" w:styleId="725">
    <w:name w:val="Заголовок 4"/>
    <w:basedOn w:val="721"/>
    <w:next w:val="725"/>
    <w:link w:val="737"/>
    <w:qFormat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726">
    <w:name w:val="Заголовок 5"/>
    <w:basedOn w:val="721"/>
    <w:next w:val="726"/>
    <w:link w:val="738"/>
    <w:qFormat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727">
    <w:name w:val="Заголовок 6"/>
    <w:basedOn w:val="721"/>
    <w:next w:val="727"/>
    <w:link w:val="739"/>
    <w:qFormat/>
    <w:pPr>
      <w:keepNext/>
      <w:keepLines/>
      <w:spacing w:before="320" w:after="200"/>
      <w:outlineLvl w:val="5"/>
    </w:pPr>
    <w:rPr>
      <w:rFonts w:ascii="Arial" w:hAnsi="Arial"/>
      <w:b/>
      <w:bCs/>
      <w:sz w:val="22"/>
      <w:lang w:eastAsia="ru-RU"/>
    </w:rPr>
  </w:style>
  <w:style w:type="paragraph" w:styleId="728">
    <w:name w:val="Заголовок 7"/>
    <w:basedOn w:val="721"/>
    <w:next w:val="728"/>
    <w:link w:val="740"/>
    <w:qFormat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lang w:eastAsia="ru-RU"/>
    </w:rPr>
  </w:style>
  <w:style w:type="paragraph" w:styleId="729">
    <w:name w:val="Заголовок 8"/>
    <w:basedOn w:val="721"/>
    <w:next w:val="729"/>
    <w:link w:val="741"/>
    <w:qFormat/>
    <w:pPr>
      <w:keepNext/>
      <w:keepLines/>
      <w:spacing w:before="320" w:after="200"/>
      <w:outlineLvl w:val="7"/>
    </w:pPr>
    <w:rPr>
      <w:rFonts w:ascii="Arial" w:hAnsi="Arial"/>
      <w:i/>
      <w:iCs/>
      <w:sz w:val="22"/>
      <w:lang w:eastAsia="ru-RU"/>
    </w:rPr>
  </w:style>
  <w:style w:type="paragraph" w:styleId="730">
    <w:name w:val="Заголовок 9"/>
    <w:basedOn w:val="721"/>
    <w:next w:val="730"/>
    <w:link w:val="742"/>
    <w:qFormat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styleId="731">
    <w:name w:val="Основной шрифт абзаца, Знак Знак9"/>
    <w:next w:val="731"/>
    <w:link w:val="918"/>
    <w:semiHidden/>
  </w:style>
  <w:style w:type="table" w:styleId="732">
    <w:name w:val="Обычная таблица"/>
    <w:next w:val="732"/>
    <w:link w:val="721"/>
    <w:semiHidden/>
    <w:tblPr/>
  </w:style>
  <w:style w:type="numbering" w:styleId="733">
    <w:name w:val="Нет списка"/>
    <w:next w:val="733"/>
    <w:link w:val="721"/>
    <w:semiHidden/>
  </w:style>
  <w:style w:type="character" w:styleId="734">
    <w:name w:val=" Знак Знак18"/>
    <w:next w:val="734"/>
    <w:link w:val="722"/>
    <w:rPr>
      <w:rFonts w:ascii="Arial" w:hAnsi="Arial" w:eastAsia="Times New Roman"/>
      <w:sz w:val="40"/>
      <w:shd w:val="clear" w:color="auto" w:fill="auto"/>
    </w:rPr>
  </w:style>
  <w:style w:type="character" w:styleId="735">
    <w:name w:val=" Знак Знак17"/>
    <w:next w:val="735"/>
    <w:link w:val="723"/>
    <w:rPr>
      <w:rFonts w:ascii="Arial" w:hAnsi="Arial" w:eastAsia="Times New Roman"/>
      <w:sz w:val="22"/>
      <w:shd w:val="clear" w:color="auto" w:fill="auto"/>
    </w:rPr>
  </w:style>
  <w:style w:type="character" w:styleId="736">
    <w:name w:val=" Знак Знак16"/>
    <w:next w:val="736"/>
    <w:link w:val="724"/>
    <w:rPr>
      <w:rFonts w:ascii="Arial" w:hAnsi="Arial" w:eastAsia="Times New Roman"/>
      <w:sz w:val="30"/>
      <w:shd w:val="clear" w:color="auto" w:fill="auto"/>
    </w:rPr>
  </w:style>
  <w:style w:type="character" w:styleId="737">
    <w:name w:val=" Знак Знак15"/>
    <w:next w:val="737"/>
    <w:link w:val="725"/>
    <w:rPr>
      <w:rFonts w:ascii="Arial" w:hAnsi="Arial" w:eastAsia="Times New Roman"/>
      <w:b/>
      <w:sz w:val="26"/>
      <w:shd w:val="clear" w:color="auto" w:fill="auto"/>
    </w:rPr>
  </w:style>
  <w:style w:type="character" w:styleId="738">
    <w:name w:val=" Знак Знак14"/>
    <w:next w:val="738"/>
    <w:link w:val="726"/>
    <w:rPr>
      <w:rFonts w:ascii="Arial" w:hAnsi="Arial" w:eastAsia="Times New Roman"/>
      <w:b/>
      <w:sz w:val="24"/>
      <w:shd w:val="clear" w:color="auto" w:fill="auto"/>
    </w:rPr>
  </w:style>
  <w:style w:type="character" w:styleId="739">
    <w:name w:val=" Знак Знак13"/>
    <w:next w:val="739"/>
    <w:link w:val="727"/>
    <w:rPr>
      <w:rFonts w:ascii="Arial" w:hAnsi="Arial" w:eastAsia="Times New Roman"/>
      <w:b/>
      <w:sz w:val="22"/>
      <w:shd w:val="clear" w:color="auto" w:fill="auto"/>
    </w:rPr>
  </w:style>
  <w:style w:type="character" w:styleId="740">
    <w:name w:val=" Знак Знак12"/>
    <w:next w:val="740"/>
    <w:link w:val="728"/>
    <w:rPr>
      <w:rFonts w:ascii="Arial" w:hAnsi="Arial" w:eastAsia="Times New Roman"/>
      <w:b/>
      <w:i/>
      <w:sz w:val="22"/>
      <w:shd w:val="clear" w:color="auto" w:fill="auto"/>
    </w:rPr>
  </w:style>
  <w:style w:type="character" w:styleId="741">
    <w:name w:val=" Знак Знак11"/>
    <w:next w:val="741"/>
    <w:link w:val="729"/>
    <w:rPr>
      <w:rFonts w:ascii="Arial" w:hAnsi="Arial" w:eastAsia="Times New Roman"/>
      <w:i/>
      <w:sz w:val="22"/>
      <w:shd w:val="clear" w:color="auto" w:fill="auto"/>
    </w:rPr>
  </w:style>
  <w:style w:type="character" w:styleId="742">
    <w:name w:val=" Знак Знак10"/>
    <w:next w:val="742"/>
    <w:link w:val="730"/>
    <w:rPr>
      <w:rFonts w:ascii="Arial" w:hAnsi="Arial" w:eastAsia="Times New Roman"/>
      <w:i/>
      <w:sz w:val="21"/>
      <w:shd w:val="clear" w:color="auto" w:fill="auto"/>
    </w:rPr>
  </w:style>
  <w:style w:type="paragraph" w:styleId="743">
    <w:name w:val="No Spacing"/>
    <w:next w:val="74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</w:style>
  <w:style w:type="paragraph" w:styleId="744">
    <w:name w:val="Название"/>
    <w:basedOn w:val="721"/>
    <w:next w:val="744"/>
    <w:link w:val="745"/>
    <w:qFormat/>
    <w:pPr>
      <w:spacing w:before="300" w:after="200"/>
    </w:pPr>
    <w:rPr>
      <w:sz w:val="48"/>
      <w:szCs w:val="48"/>
      <w:lang w:eastAsia="ru-RU"/>
    </w:rPr>
  </w:style>
  <w:style w:type="character" w:styleId="745">
    <w:name w:val=" Знак Знак8"/>
    <w:next w:val="745"/>
    <w:link w:val="744"/>
    <w:rPr>
      <w:sz w:val="48"/>
      <w:shd w:val="clear" w:color="auto" w:fill="auto"/>
    </w:rPr>
  </w:style>
  <w:style w:type="paragraph" w:styleId="746">
    <w:name w:val="Подзаголовок"/>
    <w:basedOn w:val="721"/>
    <w:next w:val="746"/>
    <w:link w:val="747"/>
    <w:qFormat/>
    <w:pPr>
      <w:spacing w:before="200" w:after="200"/>
    </w:pPr>
    <w:rPr>
      <w:sz w:val="24"/>
      <w:szCs w:val="24"/>
      <w:lang w:eastAsia="ru-RU"/>
    </w:rPr>
  </w:style>
  <w:style w:type="character" w:styleId="747">
    <w:name w:val=" Знак Знак7"/>
    <w:next w:val="747"/>
    <w:link w:val="746"/>
    <w:rPr>
      <w:sz w:val="24"/>
      <w:shd w:val="clear" w:color="auto" w:fill="auto"/>
    </w:rPr>
  </w:style>
  <w:style w:type="paragraph" w:styleId="748">
    <w:name w:val="Quote"/>
    <w:next w:val="748"/>
    <w:link w:val="749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ind w:left="720" w:right="720"/>
    </w:pPr>
    <w:rPr>
      <w:rFonts w:eastAsia="Times New Roman"/>
      <w:i/>
      <w:szCs w:val="22"/>
      <w:lang w:val="ru-RU" w:eastAsia="en-US" w:bidi="ar-SA"/>
    </w:rPr>
  </w:style>
  <w:style w:type="character" w:styleId="749">
    <w:name w:val="Quote Char"/>
    <w:next w:val="749"/>
    <w:link w:val="748"/>
    <w:rPr>
      <w:i/>
      <w:sz w:val="22"/>
      <w:shd w:val="clear" w:color="auto" w:fill="auto"/>
      <w:lang w:val="ru-RU" w:eastAsia="en-US"/>
    </w:rPr>
  </w:style>
  <w:style w:type="paragraph" w:styleId="750">
    <w:name w:val="Intense Quote"/>
    <w:next w:val="750"/>
    <w:link w:val="751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rFonts w:eastAsia="Times New Roman"/>
      <w:i/>
      <w:szCs w:val="22"/>
      <w:lang w:val="ru-RU" w:eastAsia="en-US" w:bidi="ar-SA"/>
    </w:rPr>
  </w:style>
  <w:style w:type="character" w:styleId="751">
    <w:name w:val="Intense Quote Char"/>
    <w:next w:val="751"/>
    <w:link w:val="750"/>
    <w:rPr>
      <w:i/>
      <w:sz w:val="22"/>
      <w:shd w:val="clear" w:color="auto" w:fill="f2f2f2"/>
      <w:lang w:val="ru-RU" w:eastAsia="en-US"/>
    </w:rPr>
  </w:style>
  <w:style w:type="paragraph" w:styleId="752">
    <w:name w:val="Верхний колонтитул"/>
    <w:basedOn w:val="898"/>
    <w:next w:val="752"/>
    <w:link w:val="904"/>
    <w:pPr>
      <w:tabs>
        <w:tab w:val="center" w:pos="4677" w:leader="none"/>
        <w:tab w:val="right" w:pos="9355" w:leader="none"/>
      </w:tabs>
      <w:spacing w:after="0" w:line="240" w:lineRule="auto"/>
    </w:pPr>
    <w:rPr>
      <w:color w:val="00000a"/>
      <w:sz w:val="20"/>
    </w:rPr>
  </w:style>
  <w:style w:type="character" w:styleId="753">
    <w:name w:val="Header Char"/>
    <w:next w:val="753"/>
    <w:link w:val="752"/>
    <w:rPr>
      <w:sz w:val="22"/>
      <w:shd w:val="clear" w:color="auto" w:fill="auto"/>
      <w:lang w:val="ru-RU" w:eastAsia="en-US"/>
    </w:rPr>
  </w:style>
  <w:style w:type="paragraph" w:styleId="754">
    <w:name w:val="Нижний колонтитул"/>
    <w:basedOn w:val="898"/>
    <w:next w:val="754"/>
    <w:link w:val="906"/>
    <w:pPr>
      <w:tabs>
        <w:tab w:val="center" w:pos="4677" w:leader="none"/>
        <w:tab w:val="right" w:pos="9355" w:leader="none"/>
      </w:tabs>
      <w:spacing w:after="0" w:line="240" w:lineRule="auto"/>
    </w:pPr>
    <w:rPr>
      <w:color w:val="00000a"/>
      <w:sz w:val="20"/>
    </w:rPr>
  </w:style>
  <w:style w:type="character" w:styleId="755">
    <w:name w:val="Footer Char"/>
    <w:next w:val="755"/>
    <w:link w:val="721"/>
  </w:style>
  <w:style w:type="paragraph" w:styleId="756">
    <w:name w:val="Название объекта"/>
    <w:basedOn w:val="721"/>
    <w:next w:val="756"/>
    <w:link w:val="721"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57">
    <w:name w:val="Footer Char1"/>
    <w:next w:val="757"/>
    <w:link w:val="754"/>
    <w:rPr>
      <w:sz w:val="22"/>
      <w:shd w:val="clear" w:color="auto" w:fill="auto"/>
      <w:lang w:val="ru-RU" w:eastAsia="en-US"/>
    </w:rPr>
  </w:style>
  <w:style w:type="table" w:styleId="758">
    <w:name w:val="Сетка таблицы"/>
    <w:basedOn w:val="732"/>
    <w:next w:val="75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59">
    <w:name w:val="Table Grid Light"/>
    <w:next w:val="75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0">
    <w:name w:val="Plain Table 1"/>
    <w:next w:val="76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1">
    <w:name w:val="Plain Table 2"/>
    <w:next w:val="76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2">
    <w:name w:val="Plain Table 3"/>
    <w:next w:val="76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3">
    <w:name w:val="Plain Table 4"/>
    <w:next w:val="76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4">
    <w:name w:val="Plain Table 5"/>
    <w:next w:val="76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5">
    <w:name w:val="Grid Table 1 Light"/>
    <w:next w:val="76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6">
    <w:name w:val="Grid Table 1 Light - Accent 1"/>
    <w:next w:val="76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7">
    <w:name w:val="Grid Table 1 Light - Accent 2"/>
    <w:next w:val="76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8">
    <w:name w:val="Grid Table 1 Light - Accent 3"/>
    <w:next w:val="76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69">
    <w:name w:val="Grid Table 1 Light - Accent 4"/>
    <w:next w:val="76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0">
    <w:name w:val="Grid Table 1 Light - Accent 5"/>
    <w:next w:val="77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1">
    <w:name w:val="Grid Table 1 Light - Accent 6"/>
    <w:next w:val="77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2">
    <w:name w:val="Grid Table 2"/>
    <w:next w:val="77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3">
    <w:name w:val="Grid Table 2 - Accent 1"/>
    <w:next w:val="77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4">
    <w:name w:val="Grid Table 2 - Accent 2"/>
    <w:next w:val="77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5">
    <w:name w:val="Grid Table 2 - Accent 3"/>
    <w:next w:val="77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6">
    <w:name w:val="Grid Table 2 - Accent 4"/>
    <w:next w:val="77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7">
    <w:name w:val="Grid Table 2 - Accent 5"/>
    <w:next w:val="77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8">
    <w:name w:val="Grid Table 2 - Accent 6"/>
    <w:next w:val="77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79">
    <w:name w:val="Grid Table 3"/>
    <w:next w:val="77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0">
    <w:name w:val="Grid Table 3 - Accent 1"/>
    <w:next w:val="78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1">
    <w:name w:val="Grid Table 3 - Accent 2"/>
    <w:next w:val="78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2">
    <w:name w:val="Grid Table 3 - Accent 3"/>
    <w:next w:val="78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3">
    <w:name w:val="Grid Table 3 - Accent 4"/>
    <w:next w:val="78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4">
    <w:name w:val="Grid Table 3 - Accent 5"/>
    <w:next w:val="78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5">
    <w:name w:val="Grid Table 3 - Accent 6"/>
    <w:next w:val="78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6">
    <w:name w:val="Grid Table 4"/>
    <w:next w:val="78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7">
    <w:name w:val="Grid Table 4 - Accent 1"/>
    <w:next w:val="78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8">
    <w:name w:val="Grid Table 4 - Accent 2"/>
    <w:next w:val="78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89">
    <w:name w:val="Grid Table 4 - Accent 3"/>
    <w:next w:val="78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0">
    <w:name w:val="Grid Table 4 - Accent 4"/>
    <w:next w:val="79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1">
    <w:name w:val="Grid Table 4 - Accent 5"/>
    <w:next w:val="79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2">
    <w:name w:val="Grid Table 4 - Accent 6"/>
    <w:next w:val="79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3">
    <w:name w:val="Grid Table 5 Dark"/>
    <w:next w:val="79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4">
    <w:name w:val="Grid Table 5 Dark- Accent 1"/>
    <w:next w:val="79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5">
    <w:name w:val="Grid Table 5 Dark - Accent 2"/>
    <w:next w:val="79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6">
    <w:name w:val="Grid Table 5 Dark - Accent 3"/>
    <w:next w:val="79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7">
    <w:name w:val="Grid Table 5 Dark- Accent 4"/>
    <w:next w:val="79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8">
    <w:name w:val="Grid Table 5 Dark - Accent 5"/>
    <w:next w:val="79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799">
    <w:name w:val="Grid Table 5 Dark - Accent 6"/>
    <w:next w:val="79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0">
    <w:name w:val="Grid Table 6 Colorful"/>
    <w:next w:val="80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1">
    <w:name w:val="Grid Table 6 Colorful - Accent 1"/>
    <w:next w:val="80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2">
    <w:name w:val="Grid Table 6 Colorful - Accent 2"/>
    <w:next w:val="80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3">
    <w:name w:val="Grid Table 6 Colorful - Accent 3"/>
    <w:next w:val="80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4">
    <w:name w:val="Grid Table 6 Colorful - Accent 4"/>
    <w:next w:val="80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5">
    <w:name w:val="Grid Table 6 Colorful - Accent 5"/>
    <w:next w:val="80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6">
    <w:name w:val="Grid Table 6 Colorful - Accent 6"/>
    <w:next w:val="80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7">
    <w:name w:val="Grid Table 7 Colorful"/>
    <w:next w:val="80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8">
    <w:name w:val="Grid Table 7 Colorful - Accent 1"/>
    <w:next w:val="80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09">
    <w:name w:val="Grid Table 7 Colorful - Accent 2"/>
    <w:next w:val="80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0">
    <w:name w:val="Grid Table 7 Colorful - Accent 3"/>
    <w:next w:val="81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1">
    <w:name w:val="Grid Table 7 Colorful - Accent 4"/>
    <w:next w:val="81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2">
    <w:name w:val="Grid Table 7 Colorful - Accent 5"/>
    <w:next w:val="81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3">
    <w:name w:val="Grid Table 7 Colorful - Accent 6"/>
    <w:next w:val="81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4">
    <w:name w:val="List Table 1 Light"/>
    <w:next w:val="81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5">
    <w:name w:val="List Table 1 Light - Accent 1"/>
    <w:next w:val="81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6">
    <w:name w:val="List Table 1 Light - Accent 2"/>
    <w:next w:val="81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7">
    <w:name w:val="List Table 1 Light - Accent 3"/>
    <w:next w:val="81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8">
    <w:name w:val="List Table 1 Light - Accent 4"/>
    <w:next w:val="81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19">
    <w:name w:val="List Table 1 Light - Accent 5"/>
    <w:next w:val="81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0">
    <w:name w:val="List Table 1 Light - Accent 6"/>
    <w:next w:val="82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1">
    <w:name w:val="List Table 2"/>
    <w:next w:val="82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2">
    <w:name w:val="List Table 2 - Accent 1"/>
    <w:next w:val="82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3">
    <w:name w:val="List Table 2 - Accent 2"/>
    <w:next w:val="82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4">
    <w:name w:val="List Table 2 - Accent 3"/>
    <w:next w:val="82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5">
    <w:name w:val="List Table 2 - Accent 4"/>
    <w:next w:val="82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6">
    <w:name w:val="List Table 2 - Accent 5"/>
    <w:next w:val="82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7">
    <w:name w:val="List Table 2 - Accent 6"/>
    <w:next w:val="82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8">
    <w:name w:val="List Table 3"/>
    <w:next w:val="82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29">
    <w:name w:val="List Table 3 - Accent 1"/>
    <w:next w:val="82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0">
    <w:name w:val="List Table 3 - Accent 2"/>
    <w:next w:val="83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1">
    <w:name w:val="List Table 3 - Accent 3"/>
    <w:next w:val="83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2">
    <w:name w:val="List Table 3 - Accent 4"/>
    <w:next w:val="83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3">
    <w:name w:val="List Table 3 - Accent 5"/>
    <w:next w:val="83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4">
    <w:name w:val="List Table 3 - Accent 6"/>
    <w:next w:val="83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5">
    <w:name w:val="List Table 4"/>
    <w:next w:val="83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6">
    <w:name w:val="List Table 4 - Accent 1"/>
    <w:next w:val="83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7">
    <w:name w:val="List Table 4 - Accent 2"/>
    <w:next w:val="83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8">
    <w:name w:val="List Table 4 - Accent 3"/>
    <w:next w:val="83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39">
    <w:name w:val="List Table 4 - Accent 4"/>
    <w:next w:val="83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0">
    <w:name w:val="List Table 4 - Accent 5"/>
    <w:next w:val="84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1">
    <w:name w:val="List Table 4 - Accent 6"/>
    <w:next w:val="84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2">
    <w:name w:val="List Table 5 Dark"/>
    <w:next w:val="84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3">
    <w:name w:val="List Table 5 Dark - Accent 1"/>
    <w:next w:val="84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4">
    <w:name w:val="List Table 5 Dark - Accent 2"/>
    <w:next w:val="84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5">
    <w:name w:val="List Table 5 Dark - Accent 3"/>
    <w:next w:val="84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6">
    <w:name w:val="List Table 5 Dark - Accent 4"/>
    <w:next w:val="84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7">
    <w:name w:val="List Table 5 Dark - Accent 5"/>
    <w:next w:val="84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8">
    <w:name w:val="List Table 5 Dark - Accent 6"/>
    <w:next w:val="84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49">
    <w:name w:val="List Table 6 Colorful"/>
    <w:next w:val="84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0">
    <w:name w:val="List Table 6 Colorful - Accent 1"/>
    <w:next w:val="85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1">
    <w:name w:val="List Table 6 Colorful - Accent 2"/>
    <w:next w:val="85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2">
    <w:name w:val="List Table 6 Colorful - Accent 3"/>
    <w:next w:val="85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3">
    <w:name w:val="List Table 6 Colorful - Accent 4"/>
    <w:next w:val="85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4">
    <w:name w:val="List Table 6 Colorful - Accent 5"/>
    <w:next w:val="85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5">
    <w:name w:val="List Table 6 Colorful - Accent 6"/>
    <w:next w:val="85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6">
    <w:name w:val="List Table 7 Colorful"/>
    <w:next w:val="85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7">
    <w:name w:val="List Table 7 Colorful - Accent 1"/>
    <w:next w:val="85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8">
    <w:name w:val="List Table 7 Colorful - Accent 2"/>
    <w:next w:val="85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59">
    <w:name w:val="List Table 7 Colorful - Accent 3"/>
    <w:next w:val="85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60">
    <w:name w:val="List Table 7 Colorful - Accent 4"/>
    <w:next w:val="86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61">
    <w:name w:val="List Table 7 Colorful - Accent 5"/>
    <w:next w:val="86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62">
    <w:name w:val="List Table 7 Colorful - Accent 6"/>
    <w:next w:val="86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63">
    <w:name w:val="Lined - Accent"/>
    <w:next w:val="86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64">
    <w:name w:val="Lined - Accent 1"/>
    <w:next w:val="86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65">
    <w:name w:val="Lined - Accent 2"/>
    <w:next w:val="86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66">
    <w:name w:val="Lined - Accent 3"/>
    <w:next w:val="86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67">
    <w:name w:val="Lined - Accent 4"/>
    <w:next w:val="86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68">
    <w:name w:val="Lined - Accent 5"/>
    <w:next w:val="86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69">
    <w:name w:val="Lined - Accent 6"/>
    <w:next w:val="86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0">
    <w:name w:val="Bordered &amp; Lined - Accent"/>
    <w:next w:val="87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1">
    <w:name w:val="Bordered &amp; Lined - Accent 1"/>
    <w:next w:val="87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2">
    <w:name w:val="Bordered &amp; Lined - Accent 2"/>
    <w:next w:val="87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3">
    <w:name w:val="Bordered &amp; Lined - Accent 3"/>
    <w:next w:val="87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4">
    <w:name w:val="Bordered &amp; Lined - Accent 4"/>
    <w:next w:val="874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5">
    <w:name w:val="Bordered &amp; Lined - Accent 5"/>
    <w:next w:val="875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6">
    <w:name w:val="Bordered &amp; Lined - Accent 6"/>
    <w:next w:val="876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color w:val="404040"/>
      <w:lang w:val="ru-RU" w:eastAsia="ru-RU" w:bidi="ar-SA"/>
    </w:rPr>
    <w:tblPr/>
  </w:style>
  <w:style w:type="table" w:styleId="877">
    <w:name w:val="Bordered"/>
    <w:next w:val="87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78">
    <w:name w:val="Bordered - Accent 1"/>
    <w:next w:val="87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79">
    <w:name w:val="Bordered - Accent 2"/>
    <w:next w:val="879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80">
    <w:name w:val="Bordered - Accent 3"/>
    <w:next w:val="880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81">
    <w:name w:val="Bordered - Accent 4"/>
    <w:next w:val="881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82">
    <w:name w:val="Bordered - Accent 5"/>
    <w:next w:val="882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table" w:styleId="883">
    <w:name w:val="Bordered - Accent 6"/>
    <w:next w:val="883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  <w:tblPr/>
  </w:style>
  <w:style w:type="character" w:styleId="884">
    <w:name w:val="Гиперссылка"/>
    <w:next w:val="884"/>
    <w:link w:val="721"/>
    <w:rPr>
      <w:color w:val="0000ff"/>
      <w:u w:val="single"/>
    </w:rPr>
  </w:style>
  <w:style w:type="paragraph" w:styleId="885">
    <w:name w:val="Текст сноски"/>
    <w:basedOn w:val="721"/>
    <w:next w:val="885"/>
    <w:link w:val="886"/>
    <w:semiHidden/>
    <w:pPr>
      <w:spacing w:after="40"/>
    </w:pPr>
    <w:rPr>
      <w:sz w:val="18"/>
      <w:lang w:eastAsia="ru-RU"/>
    </w:rPr>
  </w:style>
  <w:style w:type="character" w:styleId="886">
    <w:name w:val=" Знак Знак4"/>
    <w:next w:val="886"/>
    <w:link w:val="885"/>
    <w:semiHidden/>
    <w:rPr>
      <w:sz w:val="22"/>
      <w:shd w:val="clear" w:color="auto" w:fill="auto"/>
    </w:rPr>
  </w:style>
  <w:style w:type="character" w:styleId="887">
    <w:name w:val="Знак сноски"/>
    <w:next w:val="887"/>
    <w:link w:val="721"/>
    <w:semiHidden/>
    <w:rPr>
      <w:vertAlign w:val="superscript"/>
    </w:rPr>
  </w:style>
  <w:style w:type="paragraph" w:styleId="888">
    <w:name w:val="Оглавление 1"/>
    <w:basedOn w:val="721"/>
    <w:next w:val="888"/>
    <w:link w:val="721"/>
    <w:semiHidden/>
    <w:pPr>
      <w:spacing w:after="57"/>
    </w:pPr>
  </w:style>
  <w:style w:type="paragraph" w:styleId="889">
    <w:name w:val="Оглавление 2"/>
    <w:basedOn w:val="721"/>
    <w:next w:val="889"/>
    <w:link w:val="721"/>
    <w:semiHidden/>
    <w:pPr>
      <w:spacing w:after="57"/>
      <w:ind w:left="283"/>
    </w:pPr>
  </w:style>
  <w:style w:type="paragraph" w:styleId="890">
    <w:name w:val="Оглавление 3"/>
    <w:basedOn w:val="721"/>
    <w:next w:val="890"/>
    <w:link w:val="721"/>
    <w:semiHidden/>
    <w:pPr>
      <w:spacing w:after="57"/>
      <w:ind w:left="567"/>
    </w:pPr>
  </w:style>
  <w:style w:type="paragraph" w:styleId="891">
    <w:name w:val="Оглавление 4"/>
    <w:basedOn w:val="721"/>
    <w:next w:val="891"/>
    <w:link w:val="721"/>
    <w:semiHidden/>
    <w:pPr>
      <w:spacing w:after="57"/>
      <w:ind w:left="850"/>
    </w:pPr>
  </w:style>
  <w:style w:type="paragraph" w:styleId="892">
    <w:name w:val="Оглавление 5"/>
    <w:basedOn w:val="721"/>
    <w:next w:val="892"/>
    <w:link w:val="721"/>
    <w:semiHidden/>
    <w:pPr>
      <w:spacing w:after="57"/>
      <w:ind w:left="1134"/>
    </w:pPr>
  </w:style>
  <w:style w:type="paragraph" w:styleId="893">
    <w:name w:val="Оглавление 6"/>
    <w:basedOn w:val="721"/>
    <w:next w:val="893"/>
    <w:link w:val="721"/>
    <w:semiHidden/>
    <w:pPr>
      <w:spacing w:after="57"/>
      <w:ind w:left="1417"/>
    </w:pPr>
  </w:style>
  <w:style w:type="paragraph" w:styleId="894">
    <w:name w:val="Оглавление 7"/>
    <w:basedOn w:val="721"/>
    <w:next w:val="894"/>
    <w:link w:val="721"/>
    <w:semiHidden/>
    <w:pPr>
      <w:spacing w:after="57"/>
      <w:ind w:left="1701"/>
    </w:pPr>
  </w:style>
  <w:style w:type="paragraph" w:styleId="895">
    <w:name w:val="Оглавление 8"/>
    <w:basedOn w:val="721"/>
    <w:next w:val="895"/>
    <w:link w:val="721"/>
    <w:semiHidden/>
    <w:pPr>
      <w:spacing w:after="57"/>
      <w:ind w:left="1984"/>
    </w:pPr>
  </w:style>
  <w:style w:type="paragraph" w:styleId="896">
    <w:name w:val="Оглавление 9"/>
    <w:basedOn w:val="721"/>
    <w:next w:val="896"/>
    <w:link w:val="721"/>
    <w:semiHidden/>
    <w:pPr>
      <w:spacing w:after="57"/>
      <w:ind w:left="2268"/>
    </w:pPr>
  </w:style>
  <w:style w:type="paragraph" w:styleId="897">
    <w:name w:val="TOC Heading"/>
    <w:next w:val="897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Cs w:val="22"/>
      <w:lang w:val="ru-RU" w:eastAsia="en-US" w:bidi="ar-SA"/>
    </w:rPr>
  </w:style>
  <w:style w:type="paragraph" w:styleId="898">
    <w:name w:val="List Paragraph Char"/>
    <w:next w:val="898"/>
    <w:link w:val="72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200" w:line="276" w:lineRule="auto"/>
    </w:pPr>
    <w:rPr>
      <w:rFonts w:eastAsia="Times New Roman"/>
      <w:sz w:val="16"/>
      <w:szCs w:val="22"/>
      <w:lang w:val="ru-RU" w:eastAsia="ru-RU" w:bidi="ar-SA"/>
    </w:rPr>
  </w:style>
  <w:style w:type="paragraph" w:styleId="899">
    <w:name w:val="Основной текст"/>
    <w:basedOn w:val="898"/>
    <w:next w:val="899"/>
    <w:link w:val="900"/>
    <w:pPr>
      <w:spacing w:after="140" w:line="288" w:lineRule="auto"/>
    </w:pPr>
    <w:rPr>
      <w:color w:val="00000a"/>
      <w:sz w:val="20"/>
    </w:rPr>
  </w:style>
  <w:style w:type="character" w:styleId="900">
    <w:name w:val=" Знак Знак3"/>
    <w:next w:val="900"/>
    <w:link w:val="899"/>
    <w:rPr>
      <w:rFonts w:ascii="Calibri" w:hAnsi="Calibri"/>
      <w:color w:val="00000a"/>
      <w:sz w:val="20"/>
    </w:rPr>
  </w:style>
  <w:style w:type="paragraph" w:styleId="901">
    <w:name w:val="List Paragraph1"/>
    <w:basedOn w:val="898"/>
    <w:next w:val="901"/>
    <w:link w:val="721"/>
    <w:pPr>
      <w:ind w:left="720"/>
    </w:pPr>
  </w:style>
  <w:style w:type="paragraph" w:styleId="902">
    <w:name w:val="ConsPlusNormal"/>
    <w:next w:val="902"/>
    <w:link w:val="721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a"/>
      <w:sz w:val="22"/>
      <w:szCs w:val="22"/>
      <w:lang w:val="ru-RU" w:eastAsia="ru-RU" w:bidi="ar-SA"/>
    </w:rPr>
  </w:style>
  <w:style w:type="character" w:styleId="903">
    <w:name w:val="Верхний колонтитул Знак"/>
    <w:next w:val="903"/>
    <w:link w:val="721"/>
    <w:semiHidden/>
    <w:rPr>
      <w:rFonts w:ascii="Calibri" w:hAnsi="Calibri"/>
      <w:color w:val="00000a"/>
    </w:rPr>
  </w:style>
  <w:style w:type="character" w:styleId="904">
    <w:name w:val=" Знак Знак6"/>
    <w:next w:val="904"/>
    <w:link w:val="752"/>
    <w:rPr>
      <w:rFonts w:ascii="Calibri" w:hAnsi="Calibri"/>
      <w:color w:val="00000a"/>
      <w:sz w:val="20"/>
    </w:rPr>
  </w:style>
  <w:style w:type="character" w:styleId="905">
    <w:name w:val="Нижний колонтитул Знак"/>
    <w:next w:val="905"/>
    <w:link w:val="721"/>
    <w:semiHidden/>
    <w:rPr>
      <w:rFonts w:ascii="Calibri" w:hAnsi="Calibri"/>
      <w:color w:val="00000a"/>
    </w:rPr>
  </w:style>
  <w:style w:type="character" w:styleId="906">
    <w:name w:val=" Знак Знак5"/>
    <w:next w:val="906"/>
    <w:link w:val="754"/>
    <w:rPr>
      <w:rFonts w:ascii="Calibri" w:hAnsi="Calibri"/>
      <w:color w:val="00000a"/>
      <w:sz w:val="20"/>
    </w:rPr>
  </w:style>
  <w:style w:type="paragraph" w:styleId="907">
    <w:name w:val="Îáû÷íûé"/>
    <w:next w:val="907"/>
    <w:link w:val="721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Cs w:val="22"/>
      <w:lang w:val="ru-RU" w:eastAsia="en-US" w:bidi="ar-SA"/>
    </w:rPr>
  </w:style>
  <w:style w:type="character" w:styleId="908">
    <w:name w:val="Знак примечания"/>
    <w:next w:val="908"/>
    <w:link w:val="721"/>
    <w:semiHidden/>
    <w:rPr>
      <w:rFonts w:cs="Times New Roman"/>
      <w:sz w:val="16"/>
      <w:szCs w:val="16"/>
    </w:rPr>
  </w:style>
  <w:style w:type="paragraph" w:styleId="909">
    <w:name w:val="Текст примечания"/>
    <w:basedOn w:val="721"/>
    <w:next w:val="909"/>
    <w:link w:val="916"/>
    <w:semiHidden/>
    <w:rPr>
      <w:szCs w:val="20"/>
    </w:rPr>
  </w:style>
  <w:style w:type="character" w:styleId="910">
    <w:name w:val="Знак Знак2"/>
    <w:next w:val="910"/>
    <w:link w:val="909"/>
    <w:rPr>
      <w:rFonts w:ascii="Times New Roman" w:hAnsi="Times New Roman"/>
      <w:sz w:val="20"/>
      <w:lang w:val="en-US" w:eastAsia="ru-RU"/>
    </w:rPr>
  </w:style>
  <w:style w:type="paragraph" w:styleId="911">
    <w:name w:val="Текст выноски"/>
    <w:basedOn w:val="898"/>
    <w:next w:val="911"/>
    <w:link w:val="912"/>
    <w:semiHidden/>
    <w:pPr>
      <w:spacing w:after="0" w:line="240" w:lineRule="auto"/>
    </w:pPr>
    <w:rPr>
      <w:rFonts w:ascii="Tahoma" w:hAnsi="Tahoma"/>
      <w:szCs w:val="16"/>
    </w:rPr>
  </w:style>
  <w:style w:type="character" w:styleId="912">
    <w:name w:val=" Знак Знак1"/>
    <w:next w:val="912"/>
    <w:link w:val="911"/>
    <w:semiHidden/>
    <w:rPr>
      <w:rFonts w:ascii="Tahoma" w:hAnsi="Tahoma"/>
      <w:color w:val="00000a"/>
      <w:sz w:val="16"/>
    </w:rPr>
  </w:style>
  <w:style w:type="paragraph" w:styleId="913">
    <w:name w:val="List Paragraph"/>
    <w:basedOn w:val="898"/>
    <w:next w:val="913"/>
    <w:link w:val="721"/>
    <w:pPr>
      <w:ind w:left="720"/>
    </w:pPr>
  </w:style>
  <w:style w:type="paragraph" w:styleId="914">
    <w:name w:val="Тема примечания"/>
    <w:basedOn w:val="909"/>
    <w:next w:val="909"/>
    <w:link w:val="915"/>
    <w:semiHidden/>
    <w:pPr>
      <w:spacing w:after="200"/>
    </w:pPr>
    <w:rPr>
      <w:b/>
      <w:bCs/>
      <w:color w:val="00000a"/>
      <w:lang w:val="en-US" w:eastAsia="ru-RU"/>
    </w:rPr>
  </w:style>
  <w:style w:type="character" w:styleId="915">
    <w:name w:val=" Знак Знак"/>
    <w:next w:val="915"/>
    <w:link w:val="914"/>
    <w:semiHidden/>
    <w:rPr>
      <w:rFonts w:ascii="Calibri" w:hAnsi="Calibri"/>
      <w:b/>
      <w:color w:val="00000a"/>
      <w:sz w:val="20"/>
      <w:lang w:val="en-US" w:eastAsia="ru-RU"/>
    </w:rPr>
  </w:style>
  <w:style w:type="character" w:styleId="916">
    <w:name w:val=" Знак Знак2"/>
    <w:next w:val="916"/>
    <w:link w:val="909"/>
    <w:semiHidden/>
    <w:rPr>
      <w:rFonts w:cs="Times New Roman"/>
      <w:sz w:val="20"/>
      <w:szCs w:val="20"/>
      <w:shd w:val="clear" w:color="auto" w:fill="auto"/>
    </w:rPr>
  </w:style>
  <w:style w:type="table" w:styleId="917">
    <w:name w:val="Сетка таблицы1"/>
    <w:basedOn w:val="732"/>
    <w:next w:val="758"/>
    <w:link w:val="721"/>
    <w:rPr>
      <w:rFonts w:ascii="Times New Roman" w:hAnsi="Times New Roman" w:eastAsia="Times New Roman"/>
    </w:rPr>
    <w:tblPr/>
  </w:style>
  <w:style w:type="paragraph" w:styleId="918">
    <w:name w:val="UserStyle_9"/>
    <w:basedOn w:val="721"/>
    <w:next w:val="918"/>
    <w:link w:val="731"/>
    <w:pPr>
      <w:widowControl w:val="off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160" w:line="240" w:lineRule="exact"/>
      <w:jc w:val="right"/>
    </w:pPr>
    <w:rPr>
      <w:rFonts w:ascii="Times New Roman" w:hAnsi="Times New Roman"/>
      <w:szCs w:val="20"/>
      <w:lang w:val="en-GB"/>
    </w:rPr>
  </w:style>
  <w:style w:type="paragraph" w:styleId="919">
    <w:name w:val="ConsPlusTitle"/>
    <w:next w:val="919"/>
    <w:link w:val="721"/>
    <w:pPr>
      <w:widowControl w:val="off"/>
    </w:pPr>
    <w:rPr>
      <w:rFonts w:eastAsia="Times New Roman" w:cs="Calibri"/>
      <w:b/>
      <w:sz w:val="22"/>
      <w:lang w:val="ru-RU" w:eastAsia="ru-RU" w:bidi="ar-SA"/>
    </w:rPr>
  </w:style>
  <w:style w:type="character" w:styleId="920" w:default="1">
    <w:name w:val="Default Paragraph Font"/>
    <w:uiPriority w:val="1"/>
    <w:semiHidden/>
    <w:unhideWhenUsed/>
  </w:style>
  <w:style w:type="numbering" w:styleId="921" w:default="1">
    <w:name w:val="No List"/>
    <w:uiPriority w:val="99"/>
    <w:semiHidden/>
    <w:unhideWhenUsed/>
  </w:style>
  <w:style w:type="table" w:styleId="9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Юрист</dc:creator>
  <cp:revision>11</cp:revision>
  <dcterms:created xsi:type="dcterms:W3CDTF">2021-12-22T13:23:00Z</dcterms:created>
  <dcterms:modified xsi:type="dcterms:W3CDTF">2023-12-20T13:28:29Z</dcterms:modified>
  <cp:version>727464</cp:version>
</cp:coreProperties>
</file>